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DBA92" w14:textId="77777777" w:rsidR="009927A1" w:rsidRDefault="009927A1"/>
    <w:p w14:paraId="43343B32" w14:textId="77777777" w:rsidR="009927A1" w:rsidRDefault="009927A1"/>
    <w:p w14:paraId="4C3823E2" w14:textId="77777777" w:rsidR="009927A1" w:rsidRDefault="009927A1"/>
    <w:p w14:paraId="2EAFD331" w14:textId="45CFB3F9" w:rsidR="003859CA" w:rsidRDefault="00000000">
      <w:r>
        <w:rPr>
          <w:noProof/>
        </w:rPr>
        <w:drawing>
          <wp:anchor distT="0" distB="0" distL="0" distR="0" simplePos="0" relativeHeight="251658240" behindDoc="1" locked="0" layoutInCell="1" hidden="0" allowOverlap="1" wp14:anchorId="66C53EDE" wp14:editId="3809B8B8">
            <wp:simplePos x="0" y="0"/>
            <wp:positionH relativeFrom="column">
              <wp:posOffset>5288915</wp:posOffset>
            </wp:positionH>
            <wp:positionV relativeFrom="paragraph">
              <wp:posOffset>-332104</wp:posOffset>
            </wp:positionV>
            <wp:extent cx="741045" cy="755015"/>
            <wp:effectExtent l="0" t="0" r="0" b="0"/>
            <wp:wrapNone/>
            <wp:docPr id="4"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8"/>
                    <a:srcRect/>
                    <a:stretch>
                      <a:fillRect/>
                    </a:stretch>
                  </pic:blipFill>
                  <pic:spPr>
                    <a:xfrm>
                      <a:off x="0" y="0"/>
                      <a:ext cx="741045" cy="7550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8003E29" wp14:editId="6C5DAA7F">
                <wp:simplePos x="0" y="0"/>
                <wp:positionH relativeFrom="column">
                  <wp:posOffset>-723899</wp:posOffset>
                </wp:positionH>
                <wp:positionV relativeFrom="paragraph">
                  <wp:posOffset>-584199</wp:posOffset>
                </wp:positionV>
                <wp:extent cx="7220816" cy="1845637"/>
                <wp:effectExtent l="0" t="0" r="0" b="0"/>
                <wp:wrapNone/>
                <wp:docPr id="3" name="Rectangle 3"/>
                <wp:cNvGraphicFramePr/>
                <a:graphic xmlns:a="http://schemas.openxmlformats.org/drawingml/2006/main">
                  <a:graphicData uri="http://schemas.microsoft.com/office/word/2010/wordprocessingShape">
                    <wps:wsp>
                      <wps:cNvSpPr/>
                      <wps:spPr>
                        <a:xfrm>
                          <a:off x="1740355" y="2865600"/>
                          <a:ext cx="7211291" cy="1828800"/>
                        </a:xfrm>
                        <a:prstGeom prst="rect">
                          <a:avLst/>
                        </a:prstGeom>
                        <a:noFill/>
                        <a:ln>
                          <a:noFill/>
                        </a:ln>
                      </wps:spPr>
                      <wps:txbx>
                        <w:txbxContent>
                          <w:p w14:paraId="504E9FF0" w14:textId="77777777" w:rsidR="003859CA" w:rsidRDefault="00000000">
                            <w:pPr>
                              <w:jc w:val="center"/>
                              <w:textDirection w:val="btLr"/>
                            </w:pPr>
                            <w:r>
                              <w:rPr>
                                <w:b/>
                                <w:color w:val="FFC000"/>
                                <w:sz w:val="52"/>
                              </w:rPr>
                              <w:t>The Book Dragon Ltd</w:t>
                            </w:r>
                          </w:p>
                          <w:p w14:paraId="735A8C75" w14:textId="77777777" w:rsidR="003859CA" w:rsidRDefault="00000000">
                            <w:pPr>
                              <w:jc w:val="center"/>
                              <w:textDirection w:val="btLr"/>
                            </w:pPr>
                            <w:r>
                              <w:rPr>
                                <w:b/>
                                <w:color w:val="FFC000"/>
                                <w:sz w:val="52"/>
                              </w:rPr>
                              <w:t>Author Sale or Return Agreement</w:t>
                            </w:r>
                          </w:p>
                        </w:txbxContent>
                      </wps:txbx>
                      <wps:bodyPr spcFirstLastPara="1" wrap="square" lIns="91425" tIns="45700" rIns="91425" bIns="45700" anchor="t" anchorCtr="0">
                        <a:noAutofit/>
                      </wps:bodyPr>
                    </wps:wsp>
                  </a:graphicData>
                </a:graphic>
              </wp:anchor>
            </w:drawing>
          </mc:Choice>
          <mc:Fallback>
            <w:pict>
              <v:rect w14:anchorId="68003E29" id="Rectangle 3" o:spid="_x0000_s1026" style="position:absolute;margin-left:-57pt;margin-top:-46pt;width:568.55pt;height:14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" filled="f" stroked="f">
                <v:textbox inset="2.53958mm,1.2694mm,2.53958mm,1.2694mm">
                  <w:txbxContent>
                    <w:p w14:paraId="504E9FF0" w14:textId="77777777" w:rsidR="003859CA" w:rsidRDefault="00000000">
                      <w:pPr>
                        <w:jc w:val="center"/>
                        <w:textDirection w:val="btLr"/>
                      </w:pPr>
                      <w:r>
                        <w:rPr>
                          <w:b/>
                          <w:color w:val="FFC000"/>
                          <w:sz w:val="52"/>
                        </w:rPr>
                        <w:t>The Book Dragon Ltd</w:t>
                      </w:r>
                    </w:p>
                    <w:p w14:paraId="735A8C75" w14:textId="77777777" w:rsidR="003859CA" w:rsidRDefault="00000000">
                      <w:pPr>
                        <w:jc w:val="center"/>
                        <w:textDirection w:val="btLr"/>
                      </w:pPr>
                      <w:r>
                        <w:rPr>
                          <w:b/>
                          <w:color w:val="FFC000"/>
                          <w:sz w:val="52"/>
                        </w:rPr>
                        <w:t>Author Sale or Return Agreement</w:t>
                      </w:r>
                    </w:p>
                  </w:txbxContent>
                </v:textbox>
              </v:rect>
            </w:pict>
          </mc:Fallback>
        </mc:AlternateContent>
      </w:r>
    </w:p>
    <w:p w14:paraId="2A45C8FB" w14:textId="77777777" w:rsidR="003859CA" w:rsidRDefault="003859CA"/>
    <w:p w14:paraId="523C1847" w14:textId="77777777" w:rsidR="003859CA" w:rsidRDefault="00000000">
      <w:pPr>
        <w:rPr>
          <w:rFonts w:ascii="Book Antiqua" w:eastAsia="Book Antiqua" w:hAnsi="Book Antiqua" w:cs="Book Antiqua"/>
          <w:i/>
          <w:sz w:val="22"/>
          <w:szCs w:val="22"/>
        </w:rPr>
      </w:pPr>
      <w:r>
        <w:rPr>
          <w:rFonts w:ascii="Book Antiqua" w:eastAsia="Book Antiqua" w:hAnsi="Book Antiqua" w:cs="Book Antiqua"/>
          <w:i/>
          <w:sz w:val="22"/>
          <w:szCs w:val="22"/>
        </w:rPr>
        <w:t>Please complete all details and email to: bronwyn@thebookdragon.co.uk</w:t>
      </w:r>
    </w:p>
    <w:p w14:paraId="667C467D" w14:textId="77777777" w:rsidR="003859CA" w:rsidRDefault="00000000">
      <w:pPr>
        <w:rPr>
          <w:rFonts w:ascii="Book Antiqua" w:eastAsia="Book Antiqua" w:hAnsi="Book Antiqua" w:cs="Book Antiqua"/>
          <w:i/>
          <w:sz w:val="22"/>
          <w:szCs w:val="22"/>
        </w:rPr>
      </w:pPr>
      <w:r>
        <w:rPr>
          <w:rFonts w:ascii="Book Antiqua" w:eastAsia="Book Antiqua" w:hAnsi="Book Antiqua" w:cs="Book Antiqua"/>
          <w:i/>
          <w:sz w:val="22"/>
          <w:szCs w:val="22"/>
        </w:rPr>
        <w:t>SHIPPING to: The Book Dragon Ltd, 6 West Row, Stockton on Tees, TS18 1BT, United Kingdom</w:t>
      </w:r>
    </w:p>
    <w:p w14:paraId="48A91C6D" w14:textId="77777777" w:rsidR="003859CA" w:rsidRDefault="003859CA">
      <w:pPr>
        <w:rPr>
          <w:rFonts w:ascii="Book Antiqua" w:eastAsia="Book Antiqua" w:hAnsi="Book Antiqua" w:cs="Book Antiqua"/>
          <w:sz w:val="22"/>
          <w:szCs w:val="22"/>
        </w:rPr>
      </w:pPr>
    </w:p>
    <w:p w14:paraId="1AB45479" w14:textId="77777777" w:rsidR="003859CA" w:rsidRDefault="00000000">
      <w:pPr>
        <w:rPr>
          <w:rFonts w:ascii="Book Antiqua" w:eastAsia="Book Antiqua" w:hAnsi="Book Antiqua" w:cs="Book Antiqua"/>
          <w:sz w:val="22"/>
          <w:szCs w:val="22"/>
        </w:rPr>
      </w:pPr>
      <w:r>
        <w:rPr>
          <w:rFonts w:ascii="Book Antiqua" w:eastAsia="Book Antiqua" w:hAnsi="Book Antiqua" w:cs="Book Antiqua"/>
          <w:sz w:val="22"/>
          <w:szCs w:val="22"/>
        </w:rPr>
        <w:t>PLEASE READ ALL TERMS &amp; CONDITIONS BEFORE SIGNING</w:t>
      </w:r>
    </w:p>
    <w:p w14:paraId="13195564" w14:textId="77777777" w:rsidR="003859CA" w:rsidRDefault="003859CA">
      <w:pPr>
        <w:rPr>
          <w:rFonts w:ascii="Book Antiqua" w:eastAsia="Book Antiqua" w:hAnsi="Book Antiqua" w:cs="Book Antiqua"/>
          <w:sz w:val="22"/>
          <w:szCs w:val="22"/>
        </w:rPr>
      </w:pPr>
    </w:p>
    <w:p w14:paraId="4DED8FFB" w14:textId="77777777" w:rsidR="003859CA" w:rsidRDefault="00000000">
      <w:pPr>
        <w:rPr>
          <w:rFonts w:ascii="Book Antiqua" w:eastAsia="Book Antiqua" w:hAnsi="Book Antiqua" w:cs="Book Antiqua"/>
          <w:sz w:val="22"/>
          <w:szCs w:val="22"/>
          <w:u w:val="single"/>
        </w:rPr>
      </w:pPr>
      <w:r>
        <w:rPr>
          <w:rFonts w:ascii="Book Antiqua" w:eastAsia="Book Antiqua" w:hAnsi="Book Antiqua" w:cs="Book Antiqua"/>
          <w:sz w:val="22"/>
          <w:szCs w:val="22"/>
          <w:u w:val="single"/>
        </w:rPr>
        <w:t>Terms &amp; Conditions of Sale or Return</w:t>
      </w:r>
    </w:p>
    <w:p w14:paraId="2DB961EF" w14:textId="77777777" w:rsidR="003859CA" w:rsidRDefault="003859CA">
      <w:pPr>
        <w:rPr>
          <w:rFonts w:ascii="Book Antiqua" w:eastAsia="Book Antiqua" w:hAnsi="Book Antiqua" w:cs="Book Antiqua"/>
          <w:sz w:val="20"/>
          <w:szCs w:val="20"/>
          <w:u w:val="single"/>
        </w:rPr>
      </w:pPr>
    </w:p>
    <w:p w14:paraId="3BEEC7D2"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The Author confirms that they are Self or Independently published, hold all legal rights to the book including sales, distribution and publishing; and their book does not infringe on the copy rights of any other individual or organisation. In confirming this, The Author understands and accepts, that they alone are responsible for any legal challenges, or breaches, and any subsequent legal actions or penalties as a consequence of said challenge or breach in relation to their Book. </w:t>
      </w:r>
    </w:p>
    <w:p w14:paraId="52748D64" w14:textId="77777777" w:rsidR="003859CA" w:rsidRDefault="00000000">
      <w:pPr>
        <w:numPr>
          <w:ilvl w:val="0"/>
          <w:numId w:val="1"/>
        </w:numPr>
        <w:pBdr>
          <w:top w:val="nil"/>
          <w:left w:val="nil"/>
          <w:bottom w:val="nil"/>
          <w:right w:val="nil"/>
          <w:between w:val="nil"/>
        </w:pBdr>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 xml:space="preserve">The Sale or Return Period for Bronze Memberships is </w:t>
      </w:r>
      <w:r>
        <w:rPr>
          <w:rFonts w:ascii="Book Antiqua" w:eastAsia="Book Antiqua" w:hAnsi="Book Antiqua" w:cs="Book Antiqua"/>
          <w:b/>
          <w:color w:val="000000"/>
          <w:sz w:val="20"/>
          <w:szCs w:val="20"/>
        </w:rPr>
        <w:t>12 MONTHS. Renewable every 12 months, please check the loyalty scheme on our website (www.thebookdragon.co.uk).</w:t>
      </w:r>
    </w:p>
    <w:p w14:paraId="5C6127D1"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The Sale or Return Period for Silver Memberships is </w:t>
      </w:r>
      <w:r>
        <w:rPr>
          <w:rFonts w:ascii="Book Antiqua" w:eastAsia="Book Antiqua" w:hAnsi="Book Antiqua" w:cs="Book Antiqua"/>
          <w:b/>
          <w:color w:val="000000"/>
          <w:sz w:val="20"/>
          <w:szCs w:val="20"/>
        </w:rPr>
        <w:t>12 MONTHS. Renewable every 12 months, please check the loyalty scheme on our website (www.thebookdragon.co.uk).</w:t>
      </w:r>
    </w:p>
    <w:p w14:paraId="16416BBF" w14:textId="77777777" w:rsidR="003859CA" w:rsidRDefault="00000000">
      <w:pPr>
        <w:numPr>
          <w:ilvl w:val="0"/>
          <w:numId w:val="1"/>
        </w:numPr>
        <w:pBdr>
          <w:top w:val="nil"/>
          <w:left w:val="nil"/>
          <w:bottom w:val="nil"/>
          <w:right w:val="nil"/>
          <w:between w:val="nil"/>
        </w:pBdr>
        <w:rPr>
          <w:rFonts w:ascii="Book Antiqua" w:eastAsia="Book Antiqua" w:hAnsi="Book Antiqua" w:cs="Book Antiqua"/>
          <w:b/>
          <w:color w:val="000000"/>
          <w:sz w:val="20"/>
          <w:szCs w:val="20"/>
        </w:rPr>
      </w:pPr>
      <w:r>
        <w:rPr>
          <w:rFonts w:ascii="Book Antiqua" w:eastAsia="Book Antiqua" w:hAnsi="Book Antiqua" w:cs="Book Antiqua"/>
          <w:color w:val="000000"/>
          <w:sz w:val="20"/>
          <w:szCs w:val="20"/>
        </w:rPr>
        <w:t xml:space="preserve">The Sale or Return Period for Gold Memberships is </w:t>
      </w:r>
      <w:r>
        <w:rPr>
          <w:rFonts w:ascii="Book Antiqua" w:eastAsia="Book Antiqua" w:hAnsi="Book Antiqua" w:cs="Book Antiqua"/>
          <w:b/>
          <w:color w:val="000000"/>
          <w:sz w:val="20"/>
          <w:szCs w:val="20"/>
        </w:rPr>
        <w:t>12 MONTHS</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Renewable every 12 months, please check the loyalty scheme on our website (www.thebookdragon.co.uk).</w:t>
      </w:r>
    </w:p>
    <w:p w14:paraId="66CF4AA9"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Author is responsible for all associated costs of their Print on Demand Copies.</w:t>
      </w:r>
    </w:p>
    <w:p w14:paraId="39703227"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Author agrees to provide The Book Dragon Ltd with an opening stock level of 10 Copies of either Paperback or Hardback Book for each Book Title. This level can be adjusted for Authors on request and with prior agreement as we do take into consideration the authors circumstances, location and number of titles.</w:t>
      </w:r>
    </w:p>
    <w:p w14:paraId="2040C635"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Delivery Costs of Opening Stock to be paid for by the Author.</w:t>
      </w:r>
    </w:p>
    <w:p w14:paraId="70009008"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The Author will provide further Print on Demand Copies (as per above) however </w:t>
      </w:r>
      <w:r>
        <w:rPr>
          <w:rFonts w:ascii="Book Antiqua" w:eastAsia="Book Antiqua" w:hAnsi="Book Antiqua" w:cs="Book Antiqua"/>
          <w:b/>
          <w:color w:val="000000"/>
          <w:sz w:val="20"/>
          <w:szCs w:val="20"/>
        </w:rPr>
        <w:t>further copies</w:t>
      </w:r>
      <w:r>
        <w:rPr>
          <w:rFonts w:ascii="Book Antiqua" w:eastAsia="Book Antiqua" w:hAnsi="Book Antiqua" w:cs="Book Antiqua"/>
          <w:color w:val="000000"/>
          <w:sz w:val="20"/>
          <w:szCs w:val="20"/>
        </w:rPr>
        <w:t xml:space="preserve"> to be sent in batches of </w:t>
      </w:r>
      <w:r>
        <w:rPr>
          <w:rFonts w:ascii="Book Antiqua" w:eastAsia="Book Antiqua" w:hAnsi="Book Antiqua" w:cs="Book Antiqua"/>
          <w:b/>
          <w:color w:val="000000"/>
          <w:sz w:val="20"/>
          <w:szCs w:val="20"/>
        </w:rPr>
        <w:t>10 Books</w:t>
      </w:r>
      <w:r>
        <w:rPr>
          <w:rFonts w:ascii="Book Antiqua" w:eastAsia="Book Antiqua" w:hAnsi="Book Antiqua" w:cs="Book Antiqua"/>
          <w:color w:val="000000"/>
          <w:sz w:val="20"/>
          <w:szCs w:val="20"/>
        </w:rPr>
        <w:t xml:space="preserve"> as and when required by The Book Dragon Ltd. </w:t>
      </w:r>
    </w:p>
    <w:p w14:paraId="60A26642" w14:textId="77777777" w:rsidR="003859CA" w:rsidRDefault="00000000">
      <w:pPr>
        <w:numPr>
          <w:ilvl w:val="0"/>
          <w:numId w:val="1"/>
        </w:numPr>
        <w:pBdr>
          <w:top w:val="nil"/>
          <w:left w:val="nil"/>
          <w:bottom w:val="nil"/>
          <w:right w:val="nil"/>
          <w:between w:val="nil"/>
        </w:pBdr>
        <w:rPr>
          <w:rFonts w:ascii="Book Antiqua" w:eastAsia="Book Antiqua" w:hAnsi="Book Antiqua" w:cs="Book Antiqua"/>
          <w:b/>
          <w:i/>
          <w:color w:val="000000"/>
          <w:sz w:val="20"/>
          <w:szCs w:val="20"/>
        </w:rPr>
      </w:pPr>
      <w:r>
        <w:rPr>
          <w:rFonts w:ascii="Book Antiqua" w:eastAsia="Book Antiqua" w:hAnsi="Book Antiqua" w:cs="Book Antiqua"/>
          <w:color w:val="000000"/>
          <w:sz w:val="20"/>
          <w:szCs w:val="20"/>
        </w:rPr>
        <w:t xml:space="preserve">The Book Dragon Ltd will refund the Author the cost of the Delivery Fee (only) for Top Up Stock/Further Copies ordered. </w:t>
      </w:r>
      <w:r>
        <w:rPr>
          <w:rFonts w:ascii="Book Antiqua" w:eastAsia="Book Antiqua" w:hAnsi="Book Antiqua" w:cs="Book Antiqua"/>
          <w:b/>
          <w:i/>
          <w:color w:val="000000"/>
          <w:sz w:val="20"/>
          <w:szCs w:val="20"/>
        </w:rPr>
        <w:t>Refunds will only be made on proof of delivery costs &amp; proof of delivery received by The Book Dragon Ltd.</w:t>
      </w:r>
    </w:p>
    <w:p w14:paraId="5139ECC9"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Author is personally responsible for seeking reimbursement from their delivery carrier for any lost or missing shipments of their books. The Book Dragon Ltd will not reimburse the Author delivery costs or accept any liability for any missing shipments.</w:t>
      </w:r>
    </w:p>
    <w:p w14:paraId="363DA9B2"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Book Dragon Ltd will process all sales for the Author’s Book Title and a Sales Update Report will be sent to the Author on a Quarterly Basis (every 3 months).</w:t>
      </w:r>
    </w:p>
    <w:p w14:paraId="76A3E0DC"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On receipt of the Sales Report the Author will raise an Invoice for amounts due, which will be paid by The Book Dragon Lt</w:t>
      </w:r>
      <w:r>
        <w:rPr>
          <w:rFonts w:ascii="Book Antiqua" w:eastAsia="Book Antiqua" w:hAnsi="Book Antiqua" w:cs="Book Antiqua"/>
          <w:sz w:val="20"/>
          <w:szCs w:val="20"/>
        </w:rPr>
        <w:t>d</w:t>
      </w:r>
      <w:r>
        <w:rPr>
          <w:rFonts w:ascii="Book Antiqua" w:eastAsia="Book Antiqua" w:hAnsi="Book Antiqua" w:cs="Book Antiqua"/>
          <w:color w:val="000000"/>
          <w:sz w:val="20"/>
          <w:szCs w:val="20"/>
        </w:rPr>
        <w:t xml:space="preserve"> less the commission rate owed to The Book Dragon Ltd, within </w:t>
      </w:r>
      <w:r>
        <w:rPr>
          <w:rFonts w:ascii="Book Antiqua" w:eastAsia="Book Antiqua" w:hAnsi="Book Antiqua" w:cs="Book Antiqua"/>
          <w:b/>
          <w:color w:val="000000"/>
          <w:sz w:val="20"/>
          <w:szCs w:val="20"/>
        </w:rPr>
        <w:t>30 Days</w:t>
      </w:r>
      <w:r>
        <w:rPr>
          <w:rFonts w:ascii="Book Antiqua" w:eastAsia="Book Antiqua" w:hAnsi="Book Antiqua" w:cs="Book Antiqua"/>
          <w:color w:val="000000"/>
          <w:sz w:val="20"/>
          <w:szCs w:val="20"/>
        </w:rPr>
        <w:t xml:space="preserve"> of receipt of the Invoice. All Invoices to be sent to the Front of House Manager using the above contact details.</w:t>
      </w:r>
    </w:p>
    <w:p w14:paraId="07F657E7"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Author agrees to pay The Book Dragon Ltd the Commission Rate indicated for each Individual Title of the Author’s Book sold in store and online.</w:t>
      </w:r>
    </w:p>
    <w:p w14:paraId="1096F5B0"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Should a Membership account go into arrears, the Commission Rate to be paid to The Book Dragon Ltd will return to a Standard Sellers Commission Rate of 35% for the duration that the Membership Account continues to remain in arrears, or in the event that a Membership is cancelled early, either by the Author, or by The Book Dragon Ltd.</w:t>
      </w:r>
    </w:p>
    <w:p w14:paraId="0A5C2055"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If 3 consecutive membership payments are missed, The Book Dragon Ltd reserves the right to cancel the membership. The Author is then required to make appropriate arrangements for the collection of their books. The cost / shipping fees of returning the books to the Author to be met by the Author in the event of non-payment of membership fees.</w:t>
      </w:r>
    </w:p>
    <w:p w14:paraId="0B51039F"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lastRenderedPageBreak/>
        <w:t>In event a membership is cancelled early the Author will be charged an early cancellation fee. The following refund of the annual fee, where applicable, will be refunded in accordance with below.</w:t>
      </w:r>
    </w:p>
    <w:p w14:paraId="3E049AB7" w14:textId="77777777" w:rsidR="003859CA" w:rsidRDefault="00000000">
      <w:pPr>
        <w:pBdr>
          <w:top w:val="nil"/>
          <w:left w:val="nil"/>
          <w:bottom w:val="nil"/>
          <w:right w:val="nil"/>
          <w:between w:val="nil"/>
        </w:pBdr>
        <w:ind w:left="144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Cancellation within 14 days of membership commencing 100% Refund</w:t>
      </w:r>
    </w:p>
    <w:p w14:paraId="51B041E9" w14:textId="77777777" w:rsidR="003859CA" w:rsidRDefault="00000000">
      <w:pPr>
        <w:pBdr>
          <w:top w:val="nil"/>
          <w:left w:val="nil"/>
          <w:bottom w:val="nil"/>
          <w:right w:val="nil"/>
          <w:between w:val="nil"/>
        </w:pBdr>
        <w:ind w:left="144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Cancellation within 1 – 3 months of membership commencing 75% Refund</w:t>
      </w:r>
    </w:p>
    <w:p w14:paraId="71DD62E8" w14:textId="77777777" w:rsidR="003859CA" w:rsidRDefault="00000000">
      <w:pPr>
        <w:pBdr>
          <w:top w:val="nil"/>
          <w:left w:val="nil"/>
          <w:bottom w:val="nil"/>
          <w:right w:val="nil"/>
          <w:between w:val="nil"/>
        </w:pBdr>
        <w:ind w:left="1440"/>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Cancellation within 4 – 6 months of membership commencing 50% Refund</w:t>
      </w:r>
    </w:p>
    <w:p w14:paraId="55284143" w14:textId="77777777" w:rsidR="003859CA" w:rsidRDefault="00000000">
      <w:pPr>
        <w:pBdr>
          <w:top w:val="nil"/>
          <w:left w:val="nil"/>
          <w:bottom w:val="nil"/>
          <w:right w:val="nil"/>
          <w:between w:val="nil"/>
        </w:pBdr>
        <w:ind w:left="1440"/>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No Refund</w:t>
      </w:r>
      <w:r>
        <w:rPr>
          <w:rFonts w:ascii="Book Antiqua" w:eastAsia="Book Antiqua" w:hAnsi="Book Antiqua" w:cs="Book Antiqua"/>
          <w:color w:val="000000"/>
          <w:sz w:val="20"/>
          <w:szCs w:val="20"/>
        </w:rPr>
        <w:t xml:space="preserve"> will be issued if cancelled within 7 – 12 months of membership commencing.</w:t>
      </w:r>
    </w:p>
    <w:p w14:paraId="045C7F3C"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The Book Dragon Ltd agrees that at the end of the Sale or Return period all books held in stock will be returned in the same condition as received. The Author acknowledges that this is with the exception of Shelf Display / Table Display Copies which may show small signs of wear due to customers browsing in store. </w:t>
      </w:r>
    </w:p>
    <w:p w14:paraId="6B89D6BE"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The Book Dragon Ltd is responsible for paying the Return Carrier Fees for any unsold stock at the end of the Author’s Membership Sale or Return Period.</w:t>
      </w:r>
    </w:p>
    <w:p w14:paraId="22002ED6" w14:textId="77777777" w:rsidR="003859CA" w:rsidRDefault="00000000">
      <w:pPr>
        <w:numPr>
          <w:ilvl w:val="0"/>
          <w:numId w:val="1"/>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The Book Dragon Ltd reserves the right to withdraw from sale, both in its stores and online, any Authors Books, where it is appropriate to do so, and with immediate effect. This is likely in the event of any legal challenges including copy right infringements; or concerns raised by the general public which would in any way seek to damage the reputation of The Book Dragon Ltd, or cause a potential for loss of trade or custom. </w:t>
      </w:r>
    </w:p>
    <w:p w14:paraId="7C118C4C" w14:textId="77777777" w:rsidR="003859CA" w:rsidRDefault="003859CA">
      <w:pPr>
        <w:rPr>
          <w:rFonts w:ascii="Book Antiqua" w:eastAsia="Book Antiqua" w:hAnsi="Book Antiqua" w:cs="Book Antiqua"/>
          <w:sz w:val="20"/>
          <w:szCs w:val="20"/>
        </w:rPr>
      </w:pPr>
    </w:p>
    <w:p w14:paraId="48404787" w14:textId="77777777" w:rsidR="003859CA" w:rsidRDefault="00000000">
      <w:pPr>
        <w:rPr>
          <w:rFonts w:ascii="Book Antiqua" w:eastAsia="Book Antiqua" w:hAnsi="Book Antiqua" w:cs="Book Antiqua"/>
          <w:sz w:val="20"/>
          <w:szCs w:val="20"/>
        </w:rPr>
      </w:pPr>
      <w:r>
        <w:rPr>
          <w:rFonts w:ascii="Book Antiqua" w:eastAsia="Book Antiqua" w:hAnsi="Book Antiqua" w:cs="Book Antiqua"/>
          <w:sz w:val="20"/>
          <w:szCs w:val="20"/>
        </w:rPr>
        <w:t>In signing this agreement, the Author confirms that they have:</w:t>
      </w:r>
    </w:p>
    <w:p w14:paraId="6504F310" w14:textId="77777777" w:rsidR="003859CA" w:rsidRDefault="00000000">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Read the Full Terms and Conditions of the Agreement</w:t>
      </w:r>
    </w:p>
    <w:p w14:paraId="09ED91AB" w14:textId="77777777" w:rsidR="003859CA" w:rsidRDefault="00000000">
      <w:pPr>
        <w:numPr>
          <w:ilvl w:val="0"/>
          <w:numId w:val="2"/>
        </w:numPr>
        <w:pBdr>
          <w:top w:val="nil"/>
          <w:left w:val="nil"/>
          <w:bottom w:val="nil"/>
          <w:right w:val="nil"/>
          <w:between w:val="nil"/>
        </w:pBdr>
        <w:rPr>
          <w:i/>
          <w:color w:val="000000"/>
          <w:sz w:val="20"/>
          <w:szCs w:val="20"/>
        </w:rPr>
      </w:pPr>
      <w:r>
        <w:rPr>
          <w:rFonts w:ascii="Book Antiqua" w:eastAsia="Book Antiqua" w:hAnsi="Book Antiqua" w:cs="Book Antiqua"/>
          <w:color w:val="000000"/>
          <w:sz w:val="20"/>
          <w:szCs w:val="20"/>
        </w:rPr>
        <w:t>Consented for The Book Dragon Ltd to sell the Authors Work on their behalf, in store &amp; online; and given permission for The Book Dragon Ltd to utilise any wording, images created by the Author, to allow The Book Dragon Ltd to effectively market and promote the Author, and their book.</w:t>
      </w:r>
    </w:p>
    <w:tbl>
      <w:tblPr>
        <w:tblStyle w:val="a"/>
        <w:tblpPr w:leftFromText="180" w:rightFromText="180" w:vertAnchor="text" w:tblpY="7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739"/>
      </w:tblGrid>
      <w:tr w:rsidR="003859CA" w14:paraId="4D7A62AB" w14:textId="77777777">
        <w:tc>
          <w:tcPr>
            <w:tcW w:w="1271" w:type="dxa"/>
          </w:tcPr>
          <w:p w14:paraId="79FA1353" w14:textId="77777777" w:rsidR="003859CA" w:rsidRDefault="00000000">
            <w:pPr>
              <w:rPr>
                <w:i/>
                <w:sz w:val="22"/>
                <w:szCs w:val="22"/>
              </w:rPr>
            </w:pPr>
            <w:r>
              <w:rPr>
                <w:i/>
                <w:sz w:val="22"/>
                <w:szCs w:val="22"/>
              </w:rPr>
              <w:t>Signed:</w:t>
            </w:r>
          </w:p>
        </w:tc>
        <w:tc>
          <w:tcPr>
            <w:tcW w:w="7739" w:type="dxa"/>
          </w:tcPr>
          <w:p w14:paraId="09C45EED" w14:textId="77777777" w:rsidR="003859CA" w:rsidRDefault="003859CA">
            <w:pPr>
              <w:rPr>
                <w:i/>
                <w:sz w:val="22"/>
                <w:szCs w:val="22"/>
              </w:rPr>
            </w:pPr>
          </w:p>
        </w:tc>
      </w:tr>
      <w:tr w:rsidR="003859CA" w14:paraId="571A3555" w14:textId="77777777">
        <w:tc>
          <w:tcPr>
            <w:tcW w:w="1271" w:type="dxa"/>
          </w:tcPr>
          <w:p w14:paraId="6B281947" w14:textId="77777777" w:rsidR="003859CA" w:rsidRDefault="00000000">
            <w:pPr>
              <w:rPr>
                <w:i/>
                <w:sz w:val="22"/>
                <w:szCs w:val="22"/>
              </w:rPr>
            </w:pPr>
            <w:r>
              <w:rPr>
                <w:i/>
                <w:sz w:val="22"/>
                <w:szCs w:val="22"/>
              </w:rPr>
              <w:t>Printed:</w:t>
            </w:r>
          </w:p>
        </w:tc>
        <w:tc>
          <w:tcPr>
            <w:tcW w:w="7739" w:type="dxa"/>
          </w:tcPr>
          <w:p w14:paraId="7C5EACDB" w14:textId="77777777" w:rsidR="003859CA" w:rsidRDefault="003859CA">
            <w:pPr>
              <w:rPr>
                <w:i/>
                <w:sz w:val="22"/>
                <w:szCs w:val="22"/>
              </w:rPr>
            </w:pPr>
          </w:p>
        </w:tc>
      </w:tr>
      <w:tr w:rsidR="003859CA" w14:paraId="0D426033" w14:textId="77777777">
        <w:tc>
          <w:tcPr>
            <w:tcW w:w="1271" w:type="dxa"/>
          </w:tcPr>
          <w:p w14:paraId="237CEDC0" w14:textId="77777777" w:rsidR="003859CA" w:rsidRDefault="00000000">
            <w:pPr>
              <w:rPr>
                <w:i/>
                <w:sz w:val="22"/>
                <w:szCs w:val="22"/>
              </w:rPr>
            </w:pPr>
            <w:r>
              <w:rPr>
                <w:i/>
                <w:sz w:val="22"/>
                <w:szCs w:val="22"/>
              </w:rPr>
              <w:t>Dated:</w:t>
            </w:r>
          </w:p>
        </w:tc>
        <w:tc>
          <w:tcPr>
            <w:tcW w:w="7739" w:type="dxa"/>
          </w:tcPr>
          <w:p w14:paraId="0AB9997F" w14:textId="77777777" w:rsidR="003859CA" w:rsidRDefault="003859CA">
            <w:pPr>
              <w:rPr>
                <w:i/>
                <w:sz w:val="22"/>
                <w:szCs w:val="22"/>
              </w:rPr>
            </w:pPr>
          </w:p>
        </w:tc>
      </w:tr>
    </w:tbl>
    <w:p w14:paraId="46714DCF" w14:textId="77777777" w:rsidR="003859CA" w:rsidRDefault="003859CA">
      <w:pPr>
        <w:rPr>
          <w:i/>
          <w:sz w:val="22"/>
          <w:szCs w:val="22"/>
        </w:rPr>
      </w:pPr>
    </w:p>
    <w:p w14:paraId="03C2CA68" w14:textId="77777777" w:rsidR="003859CA" w:rsidRDefault="00000000">
      <w:pPr>
        <w:jc w:val="center"/>
        <w:rPr>
          <w:b/>
          <w:sz w:val="22"/>
          <w:szCs w:val="22"/>
        </w:rPr>
      </w:pPr>
      <w:r>
        <w:rPr>
          <w:b/>
          <w:sz w:val="22"/>
          <w:szCs w:val="22"/>
        </w:rPr>
        <w:t>BOOK TITLES COVERED BY THIS AGREEMENT: OPENING STOCK SHIPMENT</w:t>
      </w:r>
    </w:p>
    <w:tbl>
      <w:tblPr>
        <w:tblStyle w:val="a0"/>
        <w:tblpPr w:leftFromText="180" w:rightFromText="180" w:vertAnchor="text" w:tblpY="13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8"/>
        <w:gridCol w:w="3415"/>
        <w:gridCol w:w="1143"/>
        <w:gridCol w:w="992"/>
        <w:gridCol w:w="1502"/>
      </w:tblGrid>
      <w:tr w:rsidR="003859CA" w14:paraId="0DD3A51D" w14:textId="77777777">
        <w:tc>
          <w:tcPr>
            <w:tcW w:w="1958" w:type="dxa"/>
          </w:tcPr>
          <w:p w14:paraId="62DBA0D7" w14:textId="77777777" w:rsidR="003859CA" w:rsidRDefault="00000000">
            <w:pPr>
              <w:rPr>
                <w:sz w:val="22"/>
                <w:szCs w:val="22"/>
              </w:rPr>
            </w:pPr>
            <w:r>
              <w:rPr>
                <w:sz w:val="22"/>
                <w:szCs w:val="22"/>
              </w:rPr>
              <w:t>Author Name</w:t>
            </w:r>
          </w:p>
        </w:tc>
        <w:tc>
          <w:tcPr>
            <w:tcW w:w="3415" w:type="dxa"/>
          </w:tcPr>
          <w:p w14:paraId="1EB646A1" w14:textId="77777777" w:rsidR="003859CA" w:rsidRDefault="00000000">
            <w:pPr>
              <w:rPr>
                <w:sz w:val="22"/>
                <w:szCs w:val="22"/>
              </w:rPr>
            </w:pPr>
            <w:r>
              <w:rPr>
                <w:sz w:val="22"/>
                <w:szCs w:val="22"/>
              </w:rPr>
              <w:t>Book Title</w:t>
            </w:r>
          </w:p>
        </w:tc>
        <w:tc>
          <w:tcPr>
            <w:tcW w:w="1143" w:type="dxa"/>
          </w:tcPr>
          <w:p w14:paraId="51C03EE4" w14:textId="77777777" w:rsidR="003859CA" w:rsidRDefault="00000000">
            <w:pPr>
              <w:rPr>
                <w:sz w:val="22"/>
                <w:szCs w:val="22"/>
              </w:rPr>
            </w:pPr>
            <w:r>
              <w:rPr>
                <w:sz w:val="22"/>
                <w:szCs w:val="22"/>
              </w:rPr>
              <w:t>RRP £GBP</w:t>
            </w:r>
          </w:p>
        </w:tc>
        <w:tc>
          <w:tcPr>
            <w:tcW w:w="992" w:type="dxa"/>
          </w:tcPr>
          <w:p w14:paraId="573997B4" w14:textId="77777777" w:rsidR="003859CA" w:rsidRDefault="00000000">
            <w:pPr>
              <w:rPr>
                <w:sz w:val="22"/>
                <w:szCs w:val="22"/>
              </w:rPr>
            </w:pPr>
            <w:r>
              <w:rPr>
                <w:sz w:val="22"/>
                <w:szCs w:val="22"/>
              </w:rPr>
              <w:t>Copies</w:t>
            </w:r>
          </w:p>
        </w:tc>
        <w:tc>
          <w:tcPr>
            <w:tcW w:w="1502" w:type="dxa"/>
          </w:tcPr>
          <w:p w14:paraId="577DBD4A" w14:textId="77777777" w:rsidR="003859CA" w:rsidRDefault="00000000">
            <w:pPr>
              <w:rPr>
                <w:sz w:val="22"/>
                <w:szCs w:val="22"/>
              </w:rPr>
            </w:pPr>
            <w:r>
              <w:rPr>
                <w:sz w:val="22"/>
                <w:szCs w:val="22"/>
              </w:rPr>
              <w:t xml:space="preserve">Date Shipped </w:t>
            </w:r>
          </w:p>
        </w:tc>
      </w:tr>
      <w:tr w:rsidR="003859CA" w14:paraId="4FD272CA" w14:textId="77777777">
        <w:tc>
          <w:tcPr>
            <w:tcW w:w="1958" w:type="dxa"/>
          </w:tcPr>
          <w:p w14:paraId="0B720C3A" w14:textId="77777777" w:rsidR="003859CA" w:rsidRDefault="003859CA">
            <w:pPr>
              <w:rPr>
                <w:sz w:val="22"/>
                <w:szCs w:val="22"/>
              </w:rPr>
            </w:pPr>
          </w:p>
        </w:tc>
        <w:tc>
          <w:tcPr>
            <w:tcW w:w="3415" w:type="dxa"/>
          </w:tcPr>
          <w:p w14:paraId="314BB382" w14:textId="77777777" w:rsidR="003859CA" w:rsidRDefault="003859CA">
            <w:pPr>
              <w:rPr>
                <w:sz w:val="22"/>
                <w:szCs w:val="22"/>
              </w:rPr>
            </w:pPr>
          </w:p>
        </w:tc>
        <w:tc>
          <w:tcPr>
            <w:tcW w:w="1143" w:type="dxa"/>
          </w:tcPr>
          <w:p w14:paraId="40326309" w14:textId="77777777" w:rsidR="003859CA" w:rsidRDefault="003859CA">
            <w:pPr>
              <w:rPr>
                <w:sz w:val="22"/>
                <w:szCs w:val="22"/>
              </w:rPr>
            </w:pPr>
          </w:p>
        </w:tc>
        <w:tc>
          <w:tcPr>
            <w:tcW w:w="992" w:type="dxa"/>
          </w:tcPr>
          <w:p w14:paraId="680E1DD1" w14:textId="77777777" w:rsidR="003859CA" w:rsidRDefault="003859CA">
            <w:pPr>
              <w:rPr>
                <w:sz w:val="22"/>
                <w:szCs w:val="22"/>
              </w:rPr>
            </w:pPr>
          </w:p>
        </w:tc>
        <w:tc>
          <w:tcPr>
            <w:tcW w:w="1502" w:type="dxa"/>
          </w:tcPr>
          <w:p w14:paraId="009ADB0F" w14:textId="77777777" w:rsidR="003859CA" w:rsidRDefault="003859CA">
            <w:pPr>
              <w:rPr>
                <w:sz w:val="22"/>
                <w:szCs w:val="22"/>
              </w:rPr>
            </w:pPr>
          </w:p>
        </w:tc>
      </w:tr>
      <w:tr w:rsidR="003859CA" w14:paraId="231DAA69" w14:textId="77777777">
        <w:tc>
          <w:tcPr>
            <w:tcW w:w="1958" w:type="dxa"/>
          </w:tcPr>
          <w:p w14:paraId="578A8CE5" w14:textId="77777777" w:rsidR="003859CA" w:rsidRDefault="003859CA">
            <w:pPr>
              <w:rPr>
                <w:sz w:val="22"/>
                <w:szCs w:val="22"/>
              </w:rPr>
            </w:pPr>
          </w:p>
        </w:tc>
        <w:tc>
          <w:tcPr>
            <w:tcW w:w="3415" w:type="dxa"/>
          </w:tcPr>
          <w:p w14:paraId="794C0681" w14:textId="77777777" w:rsidR="003859CA" w:rsidRDefault="003859CA">
            <w:pPr>
              <w:rPr>
                <w:sz w:val="22"/>
                <w:szCs w:val="22"/>
              </w:rPr>
            </w:pPr>
          </w:p>
        </w:tc>
        <w:tc>
          <w:tcPr>
            <w:tcW w:w="1143" w:type="dxa"/>
          </w:tcPr>
          <w:p w14:paraId="74A2707B" w14:textId="77777777" w:rsidR="003859CA" w:rsidRDefault="003859CA">
            <w:pPr>
              <w:rPr>
                <w:sz w:val="22"/>
                <w:szCs w:val="22"/>
              </w:rPr>
            </w:pPr>
          </w:p>
        </w:tc>
        <w:tc>
          <w:tcPr>
            <w:tcW w:w="992" w:type="dxa"/>
          </w:tcPr>
          <w:p w14:paraId="16C21500" w14:textId="77777777" w:rsidR="003859CA" w:rsidRDefault="003859CA">
            <w:pPr>
              <w:rPr>
                <w:sz w:val="22"/>
                <w:szCs w:val="22"/>
              </w:rPr>
            </w:pPr>
          </w:p>
        </w:tc>
        <w:tc>
          <w:tcPr>
            <w:tcW w:w="1502" w:type="dxa"/>
          </w:tcPr>
          <w:p w14:paraId="2EAC4D49" w14:textId="77777777" w:rsidR="003859CA" w:rsidRDefault="003859CA">
            <w:pPr>
              <w:rPr>
                <w:sz w:val="22"/>
                <w:szCs w:val="22"/>
              </w:rPr>
            </w:pPr>
          </w:p>
        </w:tc>
      </w:tr>
      <w:tr w:rsidR="003859CA" w14:paraId="6B8A52AF" w14:textId="77777777">
        <w:tc>
          <w:tcPr>
            <w:tcW w:w="1958" w:type="dxa"/>
          </w:tcPr>
          <w:p w14:paraId="441F3D29" w14:textId="77777777" w:rsidR="003859CA" w:rsidRDefault="003859CA">
            <w:pPr>
              <w:rPr>
                <w:sz w:val="22"/>
                <w:szCs w:val="22"/>
              </w:rPr>
            </w:pPr>
          </w:p>
        </w:tc>
        <w:tc>
          <w:tcPr>
            <w:tcW w:w="3415" w:type="dxa"/>
          </w:tcPr>
          <w:p w14:paraId="7D7A1E84" w14:textId="77777777" w:rsidR="003859CA" w:rsidRDefault="003859CA">
            <w:pPr>
              <w:rPr>
                <w:sz w:val="22"/>
                <w:szCs w:val="22"/>
              </w:rPr>
            </w:pPr>
          </w:p>
        </w:tc>
        <w:tc>
          <w:tcPr>
            <w:tcW w:w="1143" w:type="dxa"/>
          </w:tcPr>
          <w:p w14:paraId="50F198E0" w14:textId="77777777" w:rsidR="003859CA" w:rsidRDefault="003859CA">
            <w:pPr>
              <w:rPr>
                <w:sz w:val="22"/>
                <w:szCs w:val="22"/>
              </w:rPr>
            </w:pPr>
          </w:p>
        </w:tc>
        <w:tc>
          <w:tcPr>
            <w:tcW w:w="992" w:type="dxa"/>
          </w:tcPr>
          <w:p w14:paraId="5F82AB01" w14:textId="77777777" w:rsidR="003859CA" w:rsidRDefault="003859CA">
            <w:pPr>
              <w:rPr>
                <w:sz w:val="22"/>
                <w:szCs w:val="22"/>
              </w:rPr>
            </w:pPr>
          </w:p>
        </w:tc>
        <w:tc>
          <w:tcPr>
            <w:tcW w:w="1502" w:type="dxa"/>
          </w:tcPr>
          <w:p w14:paraId="32E73934" w14:textId="77777777" w:rsidR="003859CA" w:rsidRDefault="003859CA">
            <w:pPr>
              <w:rPr>
                <w:sz w:val="22"/>
                <w:szCs w:val="22"/>
              </w:rPr>
            </w:pPr>
          </w:p>
        </w:tc>
      </w:tr>
      <w:tr w:rsidR="003859CA" w14:paraId="05C62CFE" w14:textId="77777777">
        <w:tc>
          <w:tcPr>
            <w:tcW w:w="1958" w:type="dxa"/>
          </w:tcPr>
          <w:p w14:paraId="3492F8C3" w14:textId="77777777" w:rsidR="003859CA" w:rsidRDefault="003859CA">
            <w:pPr>
              <w:rPr>
                <w:sz w:val="22"/>
                <w:szCs w:val="22"/>
              </w:rPr>
            </w:pPr>
          </w:p>
        </w:tc>
        <w:tc>
          <w:tcPr>
            <w:tcW w:w="3415" w:type="dxa"/>
          </w:tcPr>
          <w:p w14:paraId="055E2DFB" w14:textId="77777777" w:rsidR="003859CA" w:rsidRDefault="003859CA">
            <w:pPr>
              <w:rPr>
                <w:sz w:val="22"/>
                <w:szCs w:val="22"/>
              </w:rPr>
            </w:pPr>
          </w:p>
        </w:tc>
        <w:tc>
          <w:tcPr>
            <w:tcW w:w="1143" w:type="dxa"/>
          </w:tcPr>
          <w:p w14:paraId="0916A132" w14:textId="77777777" w:rsidR="003859CA" w:rsidRDefault="003859CA">
            <w:pPr>
              <w:rPr>
                <w:sz w:val="22"/>
                <w:szCs w:val="22"/>
              </w:rPr>
            </w:pPr>
          </w:p>
        </w:tc>
        <w:tc>
          <w:tcPr>
            <w:tcW w:w="992" w:type="dxa"/>
          </w:tcPr>
          <w:p w14:paraId="4432B8AE" w14:textId="77777777" w:rsidR="003859CA" w:rsidRDefault="003859CA">
            <w:pPr>
              <w:rPr>
                <w:sz w:val="22"/>
                <w:szCs w:val="22"/>
              </w:rPr>
            </w:pPr>
          </w:p>
        </w:tc>
        <w:tc>
          <w:tcPr>
            <w:tcW w:w="1502" w:type="dxa"/>
          </w:tcPr>
          <w:p w14:paraId="68E3C9EB" w14:textId="77777777" w:rsidR="003859CA" w:rsidRDefault="003859CA">
            <w:pPr>
              <w:rPr>
                <w:sz w:val="22"/>
                <w:szCs w:val="22"/>
              </w:rPr>
            </w:pPr>
          </w:p>
        </w:tc>
      </w:tr>
      <w:tr w:rsidR="003859CA" w14:paraId="68EC2258" w14:textId="77777777">
        <w:tc>
          <w:tcPr>
            <w:tcW w:w="1958" w:type="dxa"/>
          </w:tcPr>
          <w:p w14:paraId="1EB8BFFA" w14:textId="77777777" w:rsidR="003859CA" w:rsidRDefault="003859CA">
            <w:pPr>
              <w:rPr>
                <w:sz w:val="22"/>
                <w:szCs w:val="22"/>
              </w:rPr>
            </w:pPr>
          </w:p>
        </w:tc>
        <w:tc>
          <w:tcPr>
            <w:tcW w:w="3415" w:type="dxa"/>
          </w:tcPr>
          <w:p w14:paraId="30A99A09" w14:textId="77777777" w:rsidR="003859CA" w:rsidRDefault="003859CA">
            <w:pPr>
              <w:rPr>
                <w:sz w:val="22"/>
                <w:szCs w:val="22"/>
              </w:rPr>
            </w:pPr>
          </w:p>
        </w:tc>
        <w:tc>
          <w:tcPr>
            <w:tcW w:w="1143" w:type="dxa"/>
          </w:tcPr>
          <w:p w14:paraId="7587184B" w14:textId="77777777" w:rsidR="003859CA" w:rsidRDefault="003859CA">
            <w:pPr>
              <w:rPr>
                <w:sz w:val="22"/>
                <w:szCs w:val="22"/>
              </w:rPr>
            </w:pPr>
          </w:p>
        </w:tc>
        <w:tc>
          <w:tcPr>
            <w:tcW w:w="992" w:type="dxa"/>
          </w:tcPr>
          <w:p w14:paraId="5ABBEAF5" w14:textId="77777777" w:rsidR="003859CA" w:rsidRDefault="003859CA">
            <w:pPr>
              <w:rPr>
                <w:sz w:val="22"/>
                <w:szCs w:val="22"/>
              </w:rPr>
            </w:pPr>
          </w:p>
        </w:tc>
        <w:tc>
          <w:tcPr>
            <w:tcW w:w="1502" w:type="dxa"/>
          </w:tcPr>
          <w:p w14:paraId="7631A0A0" w14:textId="77777777" w:rsidR="003859CA" w:rsidRDefault="003859CA">
            <w:pPr>
              <w:rPr>
                <w:sz w:val="22"/>
                <w:szCs w:val="22"/>
              </w:rPr>
            </w:pPr>
          </w:p>
        </w:tc>
      </w:tr>
    </w:tbl>
    <w:p w14:paraId="45EE6C80" w14:textId="77777777" w:rsidR="003859CA" w:rsidRDefault="003859CA"/>
    <w:sectPr w:rsidR="003859CA">
      <w:footerReference w:type="even" r:id="rId9"/>
      <w:footerReference w:type="default" r:id="rId1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AC9EE" w14:textId="77777777" w:rsidR="006726B3" w:rsidRDefault="006726B3">
      <w:r>
        <w:separator/>
      </w:r>
    </w:p>
  </w:endnote>
  <w:endnote w:type="continuationSeparator" w:id="0">
    <w:p w14:paraId="63726401" w14:textId="77777777" w:rsidR="006726B3" w:rsidRDefault="00672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634493A-8125-4A12-85A4-7882A3C247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EBF6BC-C93C-47BC-8811-09E6E13EAF10}"/>
    <w:embedBold r:id="rId3" w:fontKey="{2E4588F4-262B-44E2-90BC-459880EBD61A}"/>
    <w:embedItalic r:id="rId4" w:fontKey="{994AB1A8-CBBE-4185-AEF6-294DF5642D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5379CC3-5DF6-420F-A89F-91DF6C136717}"/>
    <w:embedItalic r:id="rId6" w:fontKey="{9366E6D4-F82F-4BA7-B41C-734E3A56444B}"/>
  </w:font>
  <w:font w:name="Book Antiqua">
    <w:panose1 w:val="02040602050305030304"/>
    <w:charset w:val="00"/>
    <w:family w:val="roman"/>
    <w:pitch w:val="variable"/>
    <w:sig w:usb0="00000287" w:usb1="00000000" w:usb2="00000000" w:usb3="00000000" w:csb0="0000009F" w:csb1="00000000"/>
    <w:embedRegular r:id="rId7" w:fontKey="{0ECB287A-BD06-44EC-A091-743AE8680696}"/>
    <w:embedBold r:id="rId8" w:fontKey="{B18538A8-2AE1-4140-9863-018ABD519A19}"/>
    <w:embedItalic r:id="rId9" w:fontKey="{7EAFB61C-CAD2-4AEA-95C0-49AF7885C860}"/>
    <w:embedBoldItalic r:id="rId10" w:fontKey="{4270758A-1696-45A0-A388-6F12F8B4E5C3}"/>
  </w:font>
  <w:font w:name="Calibri Light">
    <w:panose1 w:val="020F0302020204030204"/>
    <w:charset w:val="00"/>
    <w:family w:val="swiss"/>
    <w:pitch w:val="variable"/>
    <w:sig w:usb0="E4002EFF" w:usb1="C200247B" w:usb2="00000009" w:usb3="00000000" w:csb0="000001FF" w:csb1="00000000"/>
    <w:embedRegular r:id="rId11" w:fontKey="{B9407D6B-9572-40B1-98A6-19F9248E1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682" w14:textId="77777777" w:rsidR="003859CA"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795144" w14:textId="77777777" w:rsidR="003859CA" w:rsidRDefault="003859C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64FF" w14:textId="77777777" w:rsidR="003859CA"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5204E">
      <w:rPr>
        <w:noProof/>
        <w:color w:val="000000"/>
      </w:rPr>
      <w:t>1</w:t>
    </w:r>
    <w:r>
      <w:rPr>
        <w:color w:val="000000"/>
      </w:rPr>
      <w:fldChar w:fldCharType="end"/>
    </w:r>
  </w:p>
  <w:p w14:paraId="0B525DD0" w14:textId="77777777" w:rsidR="003859CA" w:rsidRDefault="003859CA">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93B8B" w14:textId="77777777" w:rsidR="006726B3" w:rsidRDefault="006726B3">
      <w:r>
        <w:separator/>
      </w:r>
    </w:p>
  </w:footnote>
  <w:footnote w:type="continuationSeparator" w:id="0">
    <w:p w14:paraId="5D120C32" w14:textId="77777777" w:rsidR="006726B3" w:rsidRDefault="00672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7B75A4"/>
    <w:multiLevelType w:val="multilevel"/>
    <w:tmpl w:val="B388F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932FF4"/>
    <w:multiLevelType w:val="multilevel"/>
    <w:tmpl w:val="C8201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1581245">
    <w:abstractNumId w:val="0"/>
  </w:num>
  <w:num w:numId="2" w16cid:durableId="1866290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9CA"/>
    <w:rsid w:val="0005204E"/>
    <w:rsid w:val="001A43AB"/>
    <w:rsid w:val="00281EC5"/>
    <w:rsid w:val="00323B7B"/>
    <w:rsid w:val="003859CA"/>
    <w:rsid w:val="006726B3"/>
    <w:rsid w:val="009927A1"/>
    <w:rsid w:val="00EC4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A4AE8"/>
  <w15:docId w15:val="{E89B857F-5B53-414E-B699-20636225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6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574"/>
    <w:pPr>
      <w:ind w:left="720"/>
      <w:contextualSpacing/>
    </w:pPr>
  </w:style>
  <w:style w:type="character" w:styleId="Hyperlink">
    <w:name w:val="Hyperlink"/>
    <w:basedOn w:val="DefaultParagraphFont"/>
    <w:uiPriority w:val="99"/>
    <w:unhideWhenUsed/>
    <w:rsid w:val="007604ED"/>
    <w:rPr>
      <w:color w:val="0563C1" w:themeColor="hyperlink"/>
      <w:u w:val="single"/>
    </w:rPr>
  </w:style>
  <w:style w:type="character" w:styleId="UnresolvedMention">
    <w:name w:val="Unresolved Mention"/>
    <w:basedOn w:val="DefaultParagraphFont"/>
    <w:uiPriority w:val="99"/>
    <w:rsid w:val="007604ED"/>
    <w:rPr>
      <w:color w:val="605E5C"/>
      <w:shd w:val="clear" w:color="auto" w:fill="E1DFDD"/>
    </w:rPr>
  </w:style>
  <w:style w:type="paragraph" w:styleId="Footer">
    <w:name w:val="footer"/>
    <w:basedOn w:val="Normal"/>
    <w:link w:val="FooterChar"/>
    <w:uiPriority w:val="99"/>
    <w:unhideWhenUsed/>
    <w:rsid w:val="00236C5B"/>
    <w:pPr>
      <w:tabs>
        <w:tab w:val="center" w:pos="4680"/>
        <w:tab w:val="right" w:pos="9360"/>
      </w:tabs>
    </w:pPr>
  </w:style>
  <w:style w:type="character" w:customStyle="1" w:styleId="FooterChar">
    <w:name w:val="Footer Char"/>
    <w:basedOn w:val="DefaultParagraphFont"/>
    <w:link w:val="Footer"/>
    <w:uiPriority w:val="99"/>
    <w:rsid w:val="00236C5B"/>
  </w:style>
  <w:style w:type="character" w:styleId="PageNumber">
    <w:name w:val="page number"/>
    <w:basedOn w:val="DefaultParagraphFont"/>
    <w:uiPriority w:val="99"/>
    <w:semiHidden/>
    <w:unhideWhenUsed/>
    <w:rsid w:val="00236C5B"/>
  </w:style>
  <w:style w:type="paragraph" w:styleId="Header">
    <w:name w:val="header"/>
    <w:basedOn w:val="Normal"/>
    <w:link w:val="HeaderChar"/>
    <w:uiPriority w:val="99"/>
    <w:unhideWhenUsed/>
    <w:rsid w:val="008F5EEB"/>
    <w:pPr>
      <w:tabs>
        <w:tab w:val="center" w:pos="4513"/>
        <w:tab w:val="right" w:pos="9026"/>
      </w:tabs>
    </w:pPr>
  </w:style>
  <w:style w:type="character" w:customStyle="1" w:styleId="HeaderChar">
    <w:name w:val="Header Char"/>
    <w:basedOn w:val="DefaultParagraphFont"/>
    <w:link w:val="Header"/>
    <w:uiPriority w:val="99"/>
    <w:rsid w:val="008F5EE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4gU9tNmw0X/LrJ4dm/ckbzu/Sg==">CgMxLjA4AHIhMWRCZ0VxT2JxY2lGSVZXT1hPNWRmcm1ZVXpYeFEtVlBD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836</Words>
  <Characters>4770</Characters>
  <Application>Microsoft Office Word</Application>
  <DocSecurity>0</DocSecurity>
  <Lines>39</Lines>
  <Paragraphs>11</Paragraphs>
  <ScaleCrop>false</ScaleCrop>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McKay</dc:creator>
  <cp:lastModifiedBy>Bronwyn McKay</cp:lastModifiedBy>
  <cp:revision>3</cp:revision>
  <dcterms:created xsi:type="dcterms:W3CDTF">2024-10-03T13:59:00Z</dcterms:created>
  <dcterms:modified xsi:type="dcterms:W3CDTF">2024-10-03T13:59:00Z</dcterms:modified>
</cp:coreProperties>
</file>